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78F" w:rsidRPr="00DB678F" w:rsidRDefault="00DB678F" w:rsidP="00DB678F">
      <w:pPr>
        <w:spacing w:after="0" w:line="5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Заключение трудового договора - обязанность работодателя</w:t>
      </w:r>
    </w:p>
    <w:p w:rsidR="00DB678F" w:rsidRPr="00DB678F" w:rsidRDefault="00DB678F" w:rsidP="00DB67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</w:t>
      </w: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со ст. 16 Трудового кодекса Российской Федерации (далее – ТК РФ) трудовые отношения между работником и работодателем возникают на основании фактического допущения работника к работе с ведома или по поручению работодателя или его представителя в случае, когда трудовой договор не был надлежащим образом оформлен.</w:t>
      </w:r>
    </w:p>
    <w:p w:rsidR="00DB678F" w:rsidRPr="00DB678F" w:rsidRDefault="00DB678F" w:rsidP="00DB678F">
      <w:pPr>
        <w:spacing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B678F" w:rsidRPr="00DB678F" w:rsidRDefault="00DB678F" w:rsidP="00DB678F">
      <w:pPr>
        <w:spacing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Органы прокуратуры, Федеральная налоговая служба, Государственная инспекция труда уполномочены выявлять официально не трудоустроенных сотрудников.</w:t>
      </w:r>
    </w:p>
    <w:p w:rsidR="00DB678F" w:rsidRPr="00DB678F" w:rsidRDefault="00DB678F" w:rsidP="00DB678F">
      <w:pPr>
        <w:spacing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 если трудовые отношения оформлены договором гражданско-правового характера, для работодателя предусмотрена ответственность по ч. 4 ст. 5.27 Кодекса Российской Федерации об административных правонарушениях (далее – КоАП РФ) в виде штрафа.</w:t>
      </w:r>
    </w:p>
    <w:p w:rsidR="00DB678F" w:rsidRPr="00DB678F" w:rsidRDefault="00DB678F" w:rsidP="00DB678F">
      <w:pPr>
        <w:spacing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того, для работодателя по ст. 122 Налогового кодекса Российской Федерации предусмотрены штрафные санкции от суммы неуплаченных страховых взносов за нетрудоустроенных официально работников.</w:t>
      </w:r>
    </w:p>
    <w:p w:rsidR="00800997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Трудовым кодексом Российской Федерации регламентирована трудовая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несовершеннолетних, согласно ч.1 ст.351.1 ТК РФ не допускаются лица, имеющие или имевшие судимость, а равно и подвергавшиеся уголовному преследованию за преступления против жизни и здоровья, свободы, чести и достоинства личности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безопасности.</w:t>
      </w: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трудоустройстве на работу, связанную с несовершеннолетними, работник предъявляет работодателю, справку об отсутствии судимости и факта уголовного преследования.</w:t>
      </w: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Лица из числа имевшие судимость за совершение преступлений небольшой тяжести и преступлений средней тяжести могут быть допущены к трудовой деятельности в сфере образования, воспитания, развития несовершеннолетних, при наличии решения комиссии по делам несовершеннолетних и защите их прав, о допуске их к трудовой деятельности.</w:t>
      </w: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 приема на работу работника, не предъявившего справку об отсутствии судимости, работодатель может быть привлечен к административной ответственности по ч. 1 ст. 5.27 КоАП РФ и предусмотрена ответственность в виде предупреждения или наложения административного штрафа на должностных лиц в размере от одной тысячи до пяти тысяч рублей; на лиц, осуществляющих предпринимательскую деятельность без образования юридического лица, - от одной тысячи до пяти тысяч рублей; на юридических лиц - от тридцати тысяч до пятидесяти тысяч рублей.</w:t>
      </w:r>
    </w:p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lastRenderedPageBreak/>
        <w:t>По поручению Председателя Правительства Российской Федерации Правительством Российской Федерации разработаны и утверждены постановлением от 06.09.2022 №1570 Правила предоставления субсидий из федерального бюджета российским кредитным организациям на возмещение недополученных ими доходов по кредитам, выданным как российским юридическим лицам, так и индивидуальным предпринимателям для приобретения недвижимых объектов в целях осуществления деятельности в сфере промышленности.</w:t>
      </w:r>
    </w:p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Предоставление субсидии кредитным организациям будет осуществляться Министерством промышленности и торговли Российской Федерации (далее по тексту – </w:t>
      </w:r>
      <w:proofErr w:type="spellStart"/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Минпромторг</w:t>
      </w:r>
      <w:proofErr w:type="spellEnd"/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России).</w:t>
      </w:r>
    </w:p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Максимальная сумма кредита по разработанной программе составит 500 млн. руб., а срок – 7 лет.</w:t>
      </w:r>
    </w:p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Условием, которое делает выгодным обращение за кредитом именно по указанной программе, является льготная ставка, составляющая 5 % годовых, а для технологичных компаний (юридических лиц, получивших не позднее чем за 5 лет до даты заключения кредитного договора по программе промышленного кредита поддержку со стороны института инновационного развития в виде финансового обеспечения или иных предусмотренных законом формах) – 3 %.</w:t>
      </w:r>
    </w:p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настоящее время стартовал отбор кредитных организаций на право получения федеральной субсидии.</w:t>
      </w: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После завершения отбора </w:t>
      </w:r>
      <w:proofErr w:type="spellStart"/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Минпромторгом</w:t>
      </w:r>
      <w:proofErr w:type="spellEnd"/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России юридические лица и индивидуальные предприниматели, подпадающие под действие программы, вправе обратиться за льготным кредитом в любую прошедшую отбор кредитную организацию.</w:t>
      </w:r>
    </w:p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lastRenderedPageBreak/>
        <w:t>По поручению Председателя Правительства Российской Федерации Правительством Российской Федерации разработаны и утверждены постановлением от 06.09.2022 №1570 Правила предоставления субсидий из федерального бюджета российским кредитным организациям на возмещение недополученных ими доходов по кредитам, выданным как российским юридическим лицам, так и индивидуальным предпринимателям для приобретения недвижимых объектов в целях осуществления деятельности в сфере промышленности.</w:t>
      </w:r>
    </w:p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Предоставление субсидии кредитным организациям будет осуществляться Министерством промышленности и торговли Российской Федерации (далее по тексту – </w:t>
      </w:r>
      <w:proofErr w:type="spellStart"/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Минпромторг</w:t>
      </w:r>
      <w:proofErr w:type="spellEnd"/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России).</w:t>
      </w:r>
    </w:p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Максимальная сумма кредита по разработанной программе составит 500 млн. руб., а срок – 7 лет.</w:t>
      </w:r>
    </w:p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Условием, которое делает выгодным обращение за кредитом именно по указанной программе, является льготная ставка, составляющая 5 % годовых, а для технологичных компаний (юридических лиц, получивших не позднее чем за 5 лет до даты заключения кредитного договора по программе промышленного кредита поддержку со стороны института инновационного развития в виде финансового обеспечения или иных предусмотренных законом формах) – 3 %.</w:t>
      </w:r>
    </w:p>
    <w:p w:rsidR="00DB678F" w:rsidRPr="00DB678F" w:rsidRDefault="00DB678F" w:rsidP="00DB678F">
      <w:pPr>
        <w:spacing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настоящее время стартовал отбор кредитных организаций на право получения федеральной субсидии.</w:t>
      </w: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После завершения отбора </w:t>
      </w:r>
      <w:proofErr w:type="spellStart"/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Минпромторгом</w:t>
      </w:r>
      <w:proofErr w:type="spellEnd"/>
      <w:r w:rsidRPr="00DB678F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России юридические лица и индивидуальные предприниматели, подпадающие под действие программы, вправе обратиться за льготным кредитом в любую прошедшую отбор кредитную организацию.</w:t>
      </w:r>
    </w:p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Default="00DB678F"/>
    <w:p w:rsidR="00DB678F" w:rsidRPr="00DB678F" w:rsidRDefault="00DB678F" w:rsidP="00DB67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</w:p>
    <w:p w:rsidR="00DB678F" w:rsidRPr="00DB678F" w:rsidRDefault="00DB678F" w:rsidP="00DB678F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в соответствии с п. 22.9 Правил дорожного движения российской Федерации перевозка детей в возрасте от 7 до 11 лет включительно в легковом автомобиле, конструкцией которого предусмотрены ремни безопасности и детская удерживающая система, должна осуществляться с использованием детских удерживающих систем или устройств, соответствующих весу и росту ребенка, или с использованием ремней безопасности, а на переднем сиденье автомобиля – только с использованием детских удерживающих систем (устройств), соответствующих весу и росту ребенка.</w:t>
      </w:r>
    </w:p>
    <w:p w:rsidR="00DB678F" w:rsidRPr="00DB678F" w:rsidRDefault="00DB678F" w:rsidP="00DB67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B678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 нарушение вышеуказанного требования частью 3 статьи 12.23 КоАП РФ предусмотрена административная ответственность в виде административного штрафа на водителя в размере 3000 рублей, на должностных лиц 25000 рублей, на юридических лиц 100000 рублей.</w:t>
      </w:r>
    </w:p>
    <w:p w:rsidR="00DB678F" w:rsidRDefault="00DB678F">
      <w:bookmarkStart w:id="0" w:name="_GoBack"/>
      <w:bookmarkEnd w:id="0"/>
    </w:p>
    <w:p w:rsidR="00DB678F" w:rsidRDefault="00DB678F"/>
    <w:p w:rsidR="00DB678F" w:rsidRDefault="00DB678F"/>
    <w:sectPr w:rsidR="00DB6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CC9"/>
    <w:rsid w:val="006E4DCE"/>
    <w:rsid w:val="00711CC9"/>
    <w:rsid w:val="008737C9"/>
    <w:rsid w:val="00AE6C98"/>
    <w:rsid w:val="00DB678F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0A1DA-B17B-46FF-85DD-464A95F45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998</Words>
  <Characters>5694</Characters>
  <Application>Microsoft Office Word</Application>
  <DocSecurity>0</DocSecurity>
  <Lines>47</Lines>
  <Paragraphs>13</Paragraphs>
  <ScaleCrop>false</ScaleCrop>
  <Company/>
  <LinksUpToDate>false</LinksUpToDate>
  <CharactersWithSpaces>6679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2026-04-14T06:20:00Z</dcterms:created>
  <dcterms:modified xsi:type="dcterms:W3CDTF">2026-04-14T06:21:00Z</dcterms:modified>
</cp:coreProperties>
</file>